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8E3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8E32C7" w:rsidRDefault="00056199" w:rsidP="008A5BD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8A5BD1">
        <w:rPr>
          <w:rFonts w:ascii="Times New Roman" w:hAnsi="Times New Roman" w:cs="Times New Roman"/>
          <w:b/>
        </w:rPr>
        <w:t xml:space="preserve">В срок с </w:t>
      </w:r>
      <w:r w:rsidR="008E32C7">
        <w:rPr>
          <w:rFonts w:ascii="Times New Roman" w:hAnsi="Times New Roman" w:cs="Times New Roman"/>
          <w:b/>
        </w:rPr>
        <w:t>18</w:t>
      </w:r>
      <w:r w:rsidR="008A5BD1">
        <w:rPr>
          <w:rFonts w:ascii="Times New Roman" w:hAnsi="Times New Roman" w:cs="Times New Roman"/>
          <w:b/>
        </w:rPr>
        <w:t xml:space="preserve"> по </w:t>
      </w:r>
      <w:r w:rsidR="008E32C7">
        <w:rPr>
          <w:rFonts w:ascii="Times New Roman" w:hAnsi="Times New Roman" w:cs="Times New Roman"/>
          <w:b/>
        </w:rPr>
        <w:t>19</w:t>
      </w:r>
      <w:r w:rsidR="00774348">
        <w:rPr>
          <w:rFonts w:ascii="Times New Roman" w:hAnsi="Times New Roman" w:cs="Times New Roman"/>
          <w:b/>
        </w:rPr>
        <w:t xml:space="preserve"> </w:t>
      </w:r>
      <w:r w:rsidR="008E32C7">
        <w:rPr>
          <w:rFonts w:ascii="Times New Roman" w:hAnsi="Times New Roman" w:cs="Times New Roman"/>
          <w:b/>
        </w:rPr>
        <w:t>августа</w:t>
      </w:r>
      <w:r w:rsidR="00774348" w:rsidRPr="00C0411F">
        <w:rPr>
          <w:rFonts w:ascii="Times New Roman" w:hAnsi="Times New Roman" w:cs="Times New Roman"/>
          <w:b/>
        </w:rPr>
        <w:t xml:space="preserve"> 20</w:t>
      </w:r>
      <w:r w:rsidR="008A5BD1">
        <w:rPr>
          <w:rFonts w:ascii="Times New Roman" w:hAnsi="Times New Roman" w:cs="Times New Roman"/>
          <w:b/>
        </w:rPr>
        <w:t>20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D84E45">
        <w:rPr>
          <w:rFonts w:ascii="Times New Roman" w:hAnsi="Times New Roman" w:cs="Times New Roman"/>
          <w:b/>
        </w:rPr>
        <w:t>Ны</w:t>
      </w:r>
      <w:r w:rsidR="008A5BD1">
        <w:rPr>
          <w:rFonts w:ascii="Times New Roman" w:hAnsi="Times New Roman" w:cs="Times New Roman"/>
          <w:b/>
        </w:rPr>
        <w:t>шинск</w:t>
      </w:r>
      <w:r w:rsidR="000D6E86">
        <w:rPr>
          <w:rFonts w:ascii="Times New Roman" w:hAnsi="Times New Roman" w:cs="Times New Roman"/>
          <w:b/>
        </w:rPr>
        <w:t>ое</w:t>
      </w:r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</w:t>
      </w:r>
      <w:r w:rsidR="00774348" w:rsidRPr="008E32C7">
        <w:rPr>
          <w:rFonts w:ascii="Times New Roman" w:hAnsi="Times New Roman" w:cs="Times New Roman"/>
          <w:b/>
        </w:rPr>
        <w:t>депутатов муниципального образования «</w:t>
      </w:r>
      <w:r w:rsidR="008A5BD1" w:rsidRPr="008E32C7">
        <w:rPr>
          <w:rFonts w:ascii="Times New Roman" w:hAnsi="Times New Roman" w:cs="Times New Roman"/>
          <w:b/>
        </w:rPr>
        <w:t>Нышинское</w:t>
      </w:r>
      <w:r w:rsidR="00774348" w:rsidRPr="008E32C7">
        <w:rPr>
          <w:rFonts w:ascii="Times New Roman" w:hAnsi="Times New Roman" w:cs="Times New Roman"/>
          <w:b/>
        </w:rPr>
        <w:t xml:space="preserve">»  </w:t>
      </w:r>
      <w:r w:rsidR="008A5BD1" w:rsidRPr="008E32C7">
        <w:rPr>
          <w:rFonts w:ascii="Times New Roman" w:hAnsi="Times New Roman" w:cs="Times New Roman"/>
          <w:b/>
        </w:rPr>
        <w:t>от  19 декабря 2019 года № 31.2 «О бюджете муниципального образования «</w:t>
      </w:r>
      <w:r w:rsidR="008A5BD1" w:rsidRPr="008E32C7">
        <w:rPr>
          <w:rFonts w:ascii="Times New Roman" w:hAnsi="Times New Roman" w:cs="Times New Roman"/>
          <w:b/>
          <w:bCs/>
        </w:rPr>
        <w:t>Нышинское</w:t>
      </w:r>
      <w:r w:rsidR="008A5BD1" w:rsidRPr="008E32C7">
        <w:rPr>
          <w:rFonts w:ascii="Times New Roman" w:hAnsi="Times New Roman" w:cs="Times New Roman"/>
          <w:b/>
        </w:rPr>
        <w:t>» на 2020 год и на плановый период 2021 и 2022 годов».</w:t>
      </w:r>
      <w:proofErr w:type="gramEnd"/>
    </w:p>
    <w:p w:rsidR="008A5BD1" w:rsidRPr="00F41A5F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proofErr w:type="gramStart"/>
      <w:r w:rsidRPr="003A7868">
        <w:rPr>
          <w:rFonts w:ascii="Times New Roman" w:hAnsi="Times New Roman" w:cs="Times New Roman"/>
          <w:i/>
        </w:rPr>
        <w:t xml:space="preserve">Настоящая </w:t>
      </w:r>
      <w:r w:rsidRPr="003A7868">
        <w:rPr>
          <w:rFonts w:ascii="Times New Roman" w:hAnsi="Times New Roman" w:cs="Times New Roman"/>
          <w:bCs/>
          <w:i/>
        </w:rPr>
        <w:t>финансово-экономическая</w:t>
      </w:r>
      <w:r w:rsidRPr="003A7868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r w:rsidRPr="003A7868">
        <w:rPr>
          <w:rFonts w:ascii="Times New Roman" w:hAnsi="Times New Roman" w:cs="Times New Roman"/>
          <w:bCs/>
          <w:i/>
        </w:rPr>
        <w:t>Нышинское</w:t>
      </w:r>
      <w:r w:rsidRPr="003A7868">
        <w:rPr>
          <w:rFonts w:ascii="Times New Roman" w:hAnsi="Times New Roman" w:cs="Times New Roman"/>
          <w:i/>
        </w:rPr>
        <w:t>» о внесении изменений в решение от  19 декабря 2019 года № 31.2 «О бюджете муниципального образования «</w:t>
      </w:r>
      <w:r w:rsidRPr="003A7868">
        <w:rPr>
          <w:rFonts w:ascii="Times New Roman" w:hAnsi="Times New Roman" w:cs="Times New Roman"/>
          <w:bCs/>
          <w:i/>
        </w:rPr>
        <w:t>Нышинское</w:t>
      </w:r>
      <w:r w:rsidRPr="003A7868">
        <w:rPr>
          <w:rFonts w:ascii="Times New Roman" w:hAnsi="Times New Roman" w:cs="Times New Roman"/>
          <w:i/>
        </w:rPr>
        <w:t>» на 2020 год и на плановый период 2021 и 2022 годов»  проведена председателем контрольно-счётного отдела муниципального образования «Можгинский район» Т.А. Пантелеевой на основании статьи 157 Бюджетного кодекса Российской Федерации,  Федерального закона от</w:t>
      </w:r>
      <w:proofErr w:type="gramEnd"/>
      <w:r w:rsidRPr="003A7868">
        <w:rPr>
          <w:rFonts w:ascii="Times New Roman" w:hAnsi="Times New Roman" w:cs="Times New Roman"/>
          <w:i/>
        </w:rPr>
        <w:t xml:space="preserve"> </w:t>
      </w:r>
      <w:proofErr w:type="gramStart"/>
      <w:r w:rsidRPr="003A7868">
        <w:rPr>
          <w:rFonts w:ascii="Times New Roman" w:hAnsi="Times New Roman" w:cs="Times New Roman"/>
          <w:i/>
        </w:rPr>
        <w:t>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изменений), Соглашения 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</w:t>
      </w:r>
      <w:r w:rsidRPr="003A7868">
        <w:rPr>
          <w:rFonts w:ascii="Times New Roman" w:hAnsi="Times New Roman" w:cs="Times New Roman"/>
          <w:bCs/>
          <w:i/>
        </w:rPr>
        <w:t>Нышинское</w:t>
      </w:r>
      <w:r w:rsidRPr="003A7868">
        <w:rPr>
          <w:rFonts w:ascii="Times New Roman" w:hAnsi="Times New Roman" w:cs="Times New Roman"/>
          <w:i/>
        </w:rPr>
        <w:t xml:space="preserve">» по осуществлению внешнего </w:t>
      </w:r>
      <w:r w:rsidRPr="00F41A5F">
        <w:rPr>
          <w:rFonts w:ascii="Times New Roman" w:hAnsi="Times New Roman" w:cs="Times New Roman"/>
          <w:i/>
        </w:rPr>
        <w:t>муниципального финансового</w:t>
      </w:r>
      <w:proofErr w:type="gramEnd"/>
      <w:r w:rsidRPr="00F41A5F">
        <w:rPr>
          <w:rFonts w:ascii="Times New Roman" w:hAnsi="Times New Roman" w:cs="Times New Roman"/>
          <w:i/>
        </w:rPr>
        <w:t xml:space="preserve"> </w:t>
      </w:r>
      <w:proofErr w:type="gramStart"/>
      <w:r w:rsidRPr="00F41A5F">
        <w:rPr>
          <w:rFonts w:ascii="Times New Roman" w:hAnsi="Times New Roman" w:cs="Times New Roman"/>
          <w:i/>
        </w:rPr>
        <w:t>контроля, утвержденного решением Совета депутатов муниципального образования «</w:t>
      </w:r>
      <w:r w:rsidRPr="00F41A5F">
        <w:rPr>
          <w:rFonts w:ascii="Times New Roman" w:hAnsi="Times New Roman" w:cs="Times New Roman"/>
          <w:bCs/>
          <w:i/>
        </w:rPr>
        <w:t>Нышинское</w:t>
      </w:r>
      <w:r w:rsidRPr="00F41A5F">
        <w:rPr>
          <w:rFonts w:ascii="Times New Roman" w:hAnsi="Times New Roman" w:cs="Times New Roman"/>
          <w:i/>
        </w:rPr>
        <w:t>» от  14.12.2018г. № 22.2, в ред. от 19.12.2019г. № 31.3,  Положения о контрольно-счётном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контрольно-счётного отдела на 2020 год, утвержденного решением районного Совета депутатов от  18.12.2019г. № 30.9.</w:t>
      </w:r>
      <w:proofErr w:type="gramEnd"/>
    </w:p>
    <w:p w:rsidR="008A5BD1" w:rsidRPr="003C66DC" w:rsidRDefault="00F41A5F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proofErr w:type="gramStart"/>
      <w:r w:rsidRPr="00F41A5F">
        <w:rPr>
          <w:rFonts w:ascii="Times New Roman" w:hAnsi="Times New Roman" w:cs="Times New Roman"/>
          <w:i/>
        </w:rPr>
        <w:t>Ц</w:t>
      </w:r>
      <w:r w:rsidR="008A5BD1" w:rsidRPr="00F41A5F">
        <w:rPr>
          <w:rFonts w:ascii="Times New Roman" w:hAnsi="Times New Roman" w:cs="Times New Roman"/>
          <w:i/>
        </w:rPr>
        <w:t>елью настоящей экспертизы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</w:t>
      </w:r>
      <w:r w:rsidR="008A5BD1" w:rsidRPr="003C66DC">
        <w:rPr>
          <w:rFonts w:ascii="Times New Roman" w:hAnsi="Times New Roman" w:cs="Times New Roman"/>
          <w:i/>
        </w:rPr>
        <w:t>иципального образования «</w:t>
      </w:r>
      <w:r w:rsidR="008A5BD1" w:rsidRPr="003C66DC">
        <w:rPr>
          <w:rFonts w:ascii="Times New Roman" w:hAnsi="Times New Roman" w:cs="Times New Roman"/>
          <w:bCs/>
          <w:i/>
        </w:rPr>
        <w:t>Нышинское</w:t>
      </w:r>
      <w:r w:rsidR="008A5BD1" w:rsidRPr="003C66DC">
        <w:rPr>
          <w:rFonts w:ascii="Times New Roman" w:hAnsi="Times New Roman" w:cs="Times New Roman"/>
          <w:i/>
        </w:rPr>
        <w:t xml:space="preserve">» на 2020 год и на плановый период 2021 и 2022 годов» от 19.12.2019г. № 31.2 (далее – Решение № 31.2). </w:t>
      </w:r>
      <w:proofErr w:type="gramEnd"/>
    </w:p>
    <w:p w:rsidR="008A5BD1" w:rsidRPr="003C66DC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3C66DC">
        <w:rPr>
          <w:rFonts w:ascii="Times New Roman" w:hAnsi="Times New Roman" w:cs="Times New Roman"/>
          <w:i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r w:rsidRPr="003C66DC">
        <w:rPr>
          <w:rFonts w:ascii="Times New Roman" w:hAnsi="Times New Roman" w:cs="Times New Roman"/>
          <w:bCs/>
          <w:i/>
        </w:rPr>
        <w:t>Нышинское</w:t>
      </w:r>
      <w:r w:rsidRPr="003C66DC">
        <w:rPr>
          <w:rFonts w:ascii="Times New Roman" w:hAnsi="Times New Roman" w:cs="Times New Roman"/>
          <w:i/>
        </w:rPr>
        <w:t>» (далее - бюджет сельского поселения).</w:t>
      </w:r>
    </w:p>
    <w:p w:rsidR="008A5BD1" w:rsidRPr="003C66DC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3C66DC">
        <w:rPr>
          <w:rFonts w:ascii="Times New Roman" w:hAnsi="Times New Roman" w:cs="Times New Roman"/>
          <w:i/>
        </w:rPr>
        <w:t>Объекты проверки:  администрация муниципального образования «</w:t>
      </w:r>
      <w:r w:rsidRPr="003C66DC">
        <w:rPr>
          <w:rFonts w:ascii="Times New Roman" w:hAnsi="Times New Roman" w:cs="Times New Roman"/>
          <w:bCs/>
          <w:i/>
        </w:rPr>
        <w:t>Нышинское</w:t>
      </w:r>
      <w:r w:rsidRPr="003C66DC">
        <w:rPr>
          <w:rFonts w:ascii="Times New Roman" w:hAnsi="Times New Roman" w:cs="Times New Roman"/>
          <w:i/>
        </w:rPr>
        <w:t xml:space="preserve">», Управление финансов Администрации муниципального образования «Можгинский район» (далее – Управление финансов). </w:t>
      </w:r>
    </w:p>
    <w:p w:rsidR="008A5BD1" w:rsidRPr="008E783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</w:p>
    <w:p w:rsidR="008E7831" w:rsidRPr="008E7831" w:rsidRDefault="00EA2F49" w:rsidP="008A5BD1">
      <w:pPr>
        <w:pStyle w:val="a7"/>
        <w:tabs>
          <w:tab w:val="left" w:pos="284"/>
        </w:tabs>
        <w:ind w:left="-567" w:right="-284" w:firstLine="35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 </w:t>
      </w:r>
      <w:proofErr w:type="gramStart"/>
      <w:r w:rsidR="008A5BD1" w:rsidRPr="008E7831">
        <w:rPr>
          <w:i/>
          <w:sz w:val="22"/>
          <w:szCs w:val="22"/>
        </w:rPr>
        <w:t xml:space="preserve">Проектом Решения предлагается </w:t>
      </w:r>
      <w:r w:rsidR="008E7831" w:rsidRPr="008E7831">
        <w:rPr>
          <w:i/>
          <w:sz w:val="22"/>
          <w:szCs w:val="22"/>
        </w:rPr>
        <w:t>увеличить доходную часть бюджета сельского поселения за счет поступивших безвозмездных поступлений (субсидий) из бюджета УР бюджету муниципального образования «Можгинский район» на мероприятия по обеспечению УР документами территориального планирования и градостроительного зонирования, документацией по планировке территории в сумме 500,0 тыс. руб. и за счет прочих  межбюджетных трансфертов, передаваемых бюджетам сельских поселений, в сумме 45,0 тыс. руб.  В соответствии</w:t>
      </w:r>
      <w:proofErr w:type="gramEnd"/>
      <w:r w:rsidR="008E7831" w:rsidRPr="008E7831">
        <w:rPr>
          <w:i/>
          <w:sz w:val="22"/>
          <w:szCs w:val="22"/>
        </w:rPr>
        <w:t xml:space="preserve"> с чем, доходная часть бюджета сельского поселения на 2020 год увеличится на сумму 545,0 тыс. руб. и составит 3 016,2 тыс. руб. к 2 471,2 тыс. руб. первоначально утвержденным, или 122,1%.</w:t>
      </w:r>
    </w:p>
    <w:p w:rsidR="0086129E" w:rsidRDefault="007A49BB" w:rsidP="0086129E">
      <w:pPr>
        <w:pStyle w:val="a7"/>
        <w:tabs>
          <w:tab w:val="left" w:pos="284"/>
        </w:tabs>
        <w:ind w:left="-567" w:right="-284" w:firstLine="357"/>
        <w:jc w:val="both"/>
        <w:rPr>
          <w:i/>
          <w:sz w:val="22"/>
          <w:szCs w:val="22"/>
        </w:rPr>
      </w:pPr>
      <w:proofErr w:type="gramStart"/>
      <w:r w:rsidRPr="00DD61D1">
        <w:rPr>
          <w:i/>
          <w:sz w:val="22"/>
          <w:szCs w:val="22"/>
        </w:rPr>
        <w:t xml:space="preserve">Предлагается увеличить расходную часть бюджета сельского поселения на 579,0 тыс. руб. и расходы составят в сумме 3 153,4 тыс. руб. к 2 471,2 тыс. руб. первоначально утвержденным, или 127,6%, и к 2 574,4 тыс. руб. (122,5%) к уточненным бюджетным ассигнованиям. </w:t>
      </w:r>
      <w:r w:rsidR="0086129E">
        <w:rPr>
          <w:i/>
          <w:sz w:val="22"/>
          <w:szCs w:val="22"/>
        </w:rPr>
        <w:t xml:space="preserve">Средства в сумме 545,0 тыс. руб., поступившие из бюджета УР, предлагается увеличить по подразделам: 0412 в сумме 500,0 тыс. руб. (полномочия закреплены за сельскими поселениями п. 20 ч. 1 ст.14 Федерального закона № </w:t>
      </w:r>
      <w:r w:rsidR="0086129E" w:rsidRPr="0086129E">
        <w:rPr>
          <w:i/>
          <w:sz w:val="22"/>
          <w:szCs w:val="22"/>
        </w:rPr>
        <w:t>131-Ф); 0503 в сумме 45,0 тыс. руб. (полномочия закреплены за сельскими поселениями п. 19 ч. 1 ст. 14 Федерального закона № 131-Ф);</w:t>
      </w:r>
      <w:proofErr w:type="gramEnd"/>
      <w:r w:rsidR="0086129E" w:rsidRPr="0086129E">
        <w:rPr>
          <w:i/>
          <w:sz w:val="22"/>
          <w:szCs w:val="22"/>
        </w:rPr>
        <w:t xml:space="preserve"> за счет остатков средств на счете по состоянию на 01 января 2020  года в сумме 34,0 тыс. руб. направить по подразделам: 0104 в сумме 0,6 тыс. руб.; 0113 в сумме 33,4 тыс. руб.</w:t>
      </w:r>
    </w:p>
    <w:p w:rsidR="00596547" w:rsidRPr="00EA2F49" w:rsidRDefault="008A5BD1" w:rsidP="0086129E">
      <w:pPr>
        <w:pStyle w:val="a7"/>
        <w:tabs>
          <w:tab w:val="left" w:pos="284"/>
        </w:tabs>
        <w:ind w:left="-567" w:right="-284" w:firstLine="357"/>
        <w:jc w:val="both"/>
        <w:rPr>
          <w:i/>
          <w:sz w:val="22"/>
          <w:szCs w:val="22"/>
        </w:rPr>
      </w:pPr>
      <w:proofErr w:type="gramStart"/>
      <w:r w:rsidRPr="00F22F07">
        <w:rPr>
          <w:i/>
          <w:sz w:val="22"/>
          <w:szCs w:val="22"/>
        </w:rPr>
        <w:lastRenderedPageBreak/>
        <w:t>Соответственно увеличи</w:t>
      </w:r>
      <w:r w:rsidR="0086129E" w:rsidRPr="00F22F07">
        <w:rPr>
          <w:i/>
          <w:sz w:val="22"/>
          <w:szCs w:val="22"/>
        </w:rPr>
        <w:t>тся</w:t>
      </w:r>
      <w:r w:rsidRPr="00F22F07">
        <w:rPr>
          <w:i/>
          <w:sz w:val="22"/>
          <w:szCs w:val="22"/>
        </w:rPr>
        <w:t xml:space="preserve"> дефицит бюджета сельского поселения  на сумму </w:t>
      </w:r>
      <w:r w:rsidR="00596547" w:rsidRPr="00F22F07">
        <w:rPr>
          <w:i/>
          <w:sz w:val="22"/>
          <w:szCs w:val="22"/>
        </w:rPr>
        <w:t>34,0</w:t>
      </w:r>
      <w:r w:rsidRPr="00F22F07">
        <w:rPr>
          <w:i/>
          <w:sz w:val="22"/>
          <w:szCs w:val="22"/>
        </w:rPr>
        <w:t xml:space="preserve"> тыс. руб. и  </w:t>
      </w:r>
      <w:r w:rsidR="00596547" w:rsidRPr="00F22F07">
        <w:rPr>
          <w:i/>
          <w:sz w:val="22"/>
          <w:szCs w:val="22"/>
        </w:rPr>
        <w:t>составит 15,3% утвержденного общего годового объема доходов бюджета сельского поселения без учета утвержденного объема безвозмездных поступлений и (или) поступлений налоговых доходов по дополнительным нормативам отчислений, т.е. превысил требования, установленные  п. 3 ст. 92.1 БК РФ.</w:t>
      </w:r>
      <w:proofErr w:type="gramEnd"/>
      <w:r w:rsidR="00596547" w:rsidRPr="00F22F07">
        <w:rPr>
          <w:i/>
          <w:sz w:val="22"/>
          <w:szCs w:val="22"/>
        </w:rPr>
        <w:t xml:space="preserve"> </w:t>
      </w:r>
      <w:proofErr w:type="gramStart"/>
      <w:r w:rsidR="00596547" w:rsidRPr="00F22F07">
        <w:rPr>
          <w:i/>
          <w:sz w:val="22"/>
          <w:szCs w:val="22"/>
        </w:rPr>
        <w:t xml:space="preserve">В соответствии со ст. 96 БК РФ проектом Решения источниками погашения дефицита бюджета предусмотрены снижение остатков средств на счете по учету средств бюджета в сумме 137,2 тыс. руб., следовательно, требования по ограничению </w:t>
      </w:r>
      <w:r w:rsidR="00596547" w:rsidRPr="00EA2F49">
        <w:rPr>
          <w:i/>
          <w:sz w:val="22"/>
          <w:szCs w:val="22"/>
        </w:rPr>
        <w:t xml:space="preserve">дефицита соблюдены. </w:t>
      </w:r>
      <w:proofErr w:type="gramEnd"/>
    </w:p>
    <w:p w:rsidR="008A5BD1" w:rsidRPr="00EA2F49" w:rsidRDefault="008A5BD1" w:rsidP="008A5BD1">
      <w:pPr>
        <w:tabs>
          <w:tab w:val="left" w:pos="426"/>
        </w:tabs>
        <w:spacing w:after="0" w:line="240" w:lineRule="auto"/>
        <w:ind w:left="-567" w:right="-284" w:firstLine="357"/>
        <w:jc w:val="both"/>
        <w:rPr>
          <w:rFonts w:ascii="Times New Roman" w:hAnsi="Times New Roman" w:cs="Times New Roman"/>
        </w:rPr>
      </w:pPr>
      <w:r w:rsidRPr="00EA2F49">
        <w:rPr>
          <w:rFonts w:ascii="Times New Roman" w:hAnsi="Times New Roman" w:cs="Times New Roman"/>
          <w:i/>
        </w:rPr>
        <w:t>2.</w:t>
      </w:r>
      <w:r w:rsidR="00EA2F49" w:rsidRPr="00EA2F49">
        <w:rPr>
          <w:rFonts w:ascii="Times New Roman" w:hAnsi="Times New Roman" w:cs="Times New Roman"/>
          <w:i/>
        </w:rPr>
        <w:t xml:space="preserve"> </w:t>
      </w:r>
      <w:proofErr w:type="gramStart"/>
      <w:r w:rsidRPr="00EA2F49">
        <w:rPr>
          <w:rFonts w:ascii="Times New Roman" w:hAnsi="Times New Roman" w:cs="Times New Roman"/>
          <w:i/>
        </w:rPr>
        <w:t xml:space="preserve">Данные изменения бюджета сельского поселения Управлением финансов  произведены с учетом  Приказ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</w:t>
      </w:r>
      <w:r w:rsidR="00EA2F49" w:rsidRPr="00EA2F49">
        <w:rPr>
          <w:rFonts w:ascii="Times New Roman" w:hAnsi="Times New Roman" w:cs="Times New Roman"/>
          <w:i/>
        </w:rPr>
        <w:t>изменений</w:t>
      </w:r>
      <w:r w:rsidRPr="00EA2F49">
        <w:rPr>
          <w:rStyle w:val="ab"/>
          <w:rFonts w:ascii="Times New Roman" w:hAnsi="Times New Roman" w:cs="Times New Roman"/>
          <w:i w:val="0"/>
          <w:color w:val="000000"/>
        </w:rPr>
        <w:t>)</w:t>
      </w:r>
      <w:r w:rsidR="00EA2F49" w:rsidRPr="00EA2F49">
        <w:rPr>
          <w:rStyle w:val="ab"/>
          <w:rFonts w:ascii="Times New Roman" w:hAnsi="Times New Roman" w:cs="Times New Roman"/>
          <w:i w:val="0"/>
          <w:color w:val="000000"/>
        </w:rPr>
        <w:t xml:space="preserve">, </w:t>
      </w:r>
      <w:r w:rsidR="00EA2F49" w:rsidRPr="00EA2F49">
        <w:rPr>
          <w:rStyle w:val="ab"/>
          <w:rFonts w:ascii="Times New Roman" w:hAnsi="Times New Roman" w:cs="Times New Roman"/>
          <w:color w:val="000000"/>
        </w:rPr>
        <w:t>от 29.11.2017г. № 209н «Об утверждении Порядка применения классификации операций сектора государственного управления), в ред. изме</w:t>
      </w:r>
      <w:r w:rsidR="00D91103">
        <w:rPr>
          <w:rStyle w:val="ab"/>
          <w:rFonts w:ascii="Times New Roman" w:hAnsi="Times New Roman" w:cs="Times New Roman"/>
          <w:color w:val="000000"/>
        </w:rPr>
        <w:t>н</w:t>
      </w:r>
      <w:r w:rsidR="00EA2F49" w:rsidRPr="00EA2F49">
        <w:rPr>
          <w:rStyle w:val="ab"/>
          <w:rFonts w:ascii="Times New Roman" w:hAnsi="Times New Roman" w:cs="Times New Roman"/>
          <w:color w:val="000000"/>
        </w:rPr>
        <w:t>ений</w:t>
      </w:r>
      <w:r w:rsidRPr="00EA2F49">
        <w:rPr>
          <w:rStyle w:val="ab"/>
          <w:rFonts w:ascii="Times New Roman" w:hAnsi="Times New Roman" w:cs="Times New Roman"/>
          <w:color w:val="000000"/>
        </w:rPr>
        <w:t>.</w:t>
      </w:r>
      <w:proofErr w:type="gramEnd"/>
    </w:p>
    <w:p w:rsidR="008A5BD1" w:rsidRPr="0098234C" w:rsidRDefault="008A5BD1" w:rsidP="008A5BD1">
      <w:pPr>
        <w:pStyle w:val="a7"/>
        <w:ind w:left="-567" w:right="-284" w:firstLine="357"/>
        <w:jc w:val="both"/>
        <w:rPr>
          <w:i/>
          <w:sz w:val="22"/>
          <w:szCs w:val="22"/>
        </w:rPr>
      </w:pPr>
      <w:r w:rsidRPr="00D91103">
        <w:rPr>
          <w:i/>
          <w:sz w:val="22"/>
          <w:szCs w:val="22"/>
        </w:rPr>
        <w:t>3. Замечания финансово-экономического характера отсутствуют.</w:t>
      </w:r>
      <w:r w:rsidR="00D91103" w:rsidRPr="00D91103">
        <w:rPr>
          <w:i/>
          <w:sz w:val="22"/>
          <w:szCs w:val="22"/>
        </w:rPr>
        <w:t xml:space="preserve"> Нормативно-правовые акты Удмуртской Республики, органов местного самоуправления, явившиеся основанием для </w:t>
      </w:r>
      <w:r w:rsidR="00D91103" w:rsidRPr="0098234C">
        <w:rPr>
          <w:i/>
          <w:sz w:val="22"/>
          <w:szCs w:val="22"/>
        </w:rPr>
        <w:t>составления проекта Решения о бюджете, в полном объеме представлены и достаточны для проведения экспертизы.</w:t>
      </w:r>
    </w:p>
    <w:p w:rsidR="008A5BD1" w:rsidRPr="0098234C" w:rsidRDefault="008A5BD1" w:rsidP="008A5BD1">
      <w:pPr>
        <w:tabs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hAnsi="Times New Roman" w:cs="Times New Roman"/>
          <w:i/>
        </w:rPr>
      </w:pPr>
      <w:proofErr w:type="gramStart"/>
      <w:r w:rsidRPr="0098234C">
        <w:rPr>
          <w:rFonts w:ascii="Times New Roman" w:hAnsi="Times New Roman" w:cs="Times New Roman"/>
          <w:i/>
        </w:rPr>
        <w:t>Учитывая, что Управлением финансов  данные изменения финансового обеспечения обоснованы и реалистичны, соответствуют требованиям Бюджетного кодекса Российской Федерации,  муниципальным правовым актам,  соблюдён принцип сбалансированности бюджетов (статья 33 БК РФ),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19.12.2019г.  № 31.2 «О бюджете муниципального образования «Нышинск</w:t>
      </w:r>
      <w:r w:rsidRPr="0098234C">
        <w:rPr>
          <w:rFonts w:ascii="Times New Roman" w:hAnsi="Times New Roman" w:cs="Times New Roman"/>
          <w:bCs/>
          <w:i/>
        </w:rPr>
        <w:t>ое</w:t>
      </w:r>
      <w:r w:rsidRPr="0098234C">
        <w:rPr>
          <w:rFonts w:ascii="Times New Roman" w:hAnsi="Times New Roman" w:cs="Times New Roman"/>
          <w:i/>
        </w:rPr>
        <w:t>» на 2020 год и</w:t>
      </w:r>
      <w:proofErr w:type="gramEnd"/>
      <w:r w:rsidRPr="0098234C">
        <w:rPr>
          <w:rFonts w:ascii="Times New Roman" w:hAnsi="Times New Roman" w:cs="Times New Roman"/>
          <w:i/>
        </w:rPr>
        <w:t xml:space="preserve"> на плановый период 2021 и 2022 годов»  в  предложенной редакции.</w:t>
      </w:r>
    </w:p>
    <w:p w:rsidR="000D6E86" w:rsidRPr="0098234C" w:rsidRDefault="00F50D10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  <w:r w:rsidRPr="0098234C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0D6E86" w:rsidRPr="0098234C" w:rsidRDefault="000D6E86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</w:p>
    <w:p w:rsidR="00F50D10" w:rsidRPr="000D6E86" w:rsidRDefault="00774348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234C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98234C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="0098234C" w:rsidRPr="0098234C">
        <w:rPr>
          <w:rFonts w:ascii="Times New Roman" w:hAnsi="Times New Roman" w:cs="Times New Roman"/>
          <w:i/>
          <w:sz w:val="20"/>
          <w:szCs w:val="20"/>
        </w:rPr>
        <w:t>инспектор</w:t>
      </w:r>
      <w:r w:rsidR="00F50D10" w:rsidRPr="0098234C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="0098234C" w:rsidRPr="0098234C">
        <w:rPr>
          <w:rFonts w:ascii="Times New Roman" w:hAnsi="Times New Roman" w:cs="Times New Roman"/>
          <w:i/>
          <w:sz w:val="20"/>
          <w:szCs w:val="20"/>
        </w:rPr>
        <w:t xml:space="preserve">Е.В. Трефилова </w:t>
      </w:r>
      <w:r w:rsidR="008A5BD1" w:rsidRPr="0098234C">
        <w:rPr>
          <w:rFonts w:ascii="Times New Roman" w:hAnsi="Times New Roman" w:cs="Times New Roman"/>
          <w:i/>
          <w:sz w:val="20"/>
          <w:szCs w:val="20"/>
        </w:rPr>
        <w:t xml:space="preserve"> 21.0</w:t>
      </w:r>
      <w:r w:rsidR="0098234C" w:rsidRPr="0098234C">
        <w:rPr>
          <w:rFonts w:ascii="Times New Roman" w:hAnsi="Times New Roman" w:cs="Times New Roman"/>
          <w:i/>
          <w:sz w:val="20"/>
          <w:szCs w:val="20"/>
        </w:rPr>
        <w:t>8</w:t>
      </w:r>
      <w:r w:rsidR="008A5BD1" w:rsidRPr="0098234C">
        <w:rPr>
          <w:rFonts w:ascii="Times New Roman" w:hAnsi="Times New Roman" w:cs="Times New Roman"/>
          <w:i/>
          <w:sz w:val="20"/>
          <w:szCs w:val="20"/>
        </w:rPr>
        <w:t>.2020г.</w:t>
      </w:r>
      <w:bookmarkStart w:id="0" w:name="_GoBack"/>
      <w:bookmarkEnd w:id="0"/>
    </w:p>
    <w:sectPr w:rsidR="00F50D10" w:rsidRPr="000D6E86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354"/>
    <w:rsid w:val="00056199"/>
    <w:rsid w:val="000D6E86"/>
    <w:rsid w:val="00154D0F"/>
    <w:rsid w:val="00290B82"/>
    <w:rsid w:val="00370354"/>
    <w:rsid w:val="00394127"/>
    <w:rsid w:val="003A7868"/>
    <w:rsid w:val="003C66DC"/>
    <w:rsid w:val="00423B24"/>
    <w:rsid w:val="004D3F4A"/>
    <w:rsid w:val="00584561"/>
    <w:rsid w:val="00596547"/>
    <w:rsid w:val="005C730E"/>
    <w:rsid w:val="005E2BD5"/>
    <w:rsid w:val="00663F3C"/>
    <w:rsid w:val="007713CA"/>
    <w:rsid w:val="00774348"/>
    <w:rsid w:val="007A4508"/>
    <w:rsid w:val="007A49BB"/>
    <w:rsid w:val="007F0DFB"/>
    <w:rsid w:val="008448F2"/>
    <w:rsid w:val="0086129E"/>
    <w:rsid w:val="008A5BD1"/>
    <w:rsid w:val="008B594E"/>
    <w:rsid w:val="008E32C7"/>
    <w:rsid w:val="008E7831"/>
    <w:rsid w:val="0098234C"/>
    <w:rsid w:val="009C789A"/>
    <w:rsid w:val="00A913E1"/>
    <w:rsid w:val="00AD40C3"/>
    <w:rsid w:val="00AF7926"/>
    <w:rsid w:val="00BA572D"/>
    <w:rsid w:val="00CF29FB"/>
    <w:rsid w:val="00D70362"/>
    <w:rsid w:val="00D821B7"/>
    <w:rsid w:val="00D84E45"/>
    <w:rsid w:val="00D91103"/>
    <w:rsid w:val="00DD61D1"/>
    <w:rsid w:val="00E40C35"/>
    <w:rsid w:val="00E877C3"/>
    <w:rsid w:val="00E97F90"/>
    <w:rsid w:val="00EA2F49"/>
    <w:rsid w:val="00F22F07"/>
    <w:rsid w:val="00F41A5F"/>
    <w:rsid w:val="00F42438"/>
    <w:rsid w:val="00F50D10"/>
    <w:rsid w:val="00F64EA4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6247E-4279-4EF5-9A21-C42BF237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dcterms:created xsi:type="dcterms:W3CDTF">2020-10-06T07:27:00Z</dcterms:created>
  <dcterms:modified xsi:type="dcterms:W3CDTF">2020-10-06T07:27:00Z</dcterms:modified>
</cp:coreProperties>
</file>